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96" w:rsidRPr="00E659F0" w:rsidRDefault="00352D96" w:rsidP="00A1315C">
      <w:pPr>
        <w:spacing w:after="0"/>
        <w:jc w:val="center"/>
        <w:rPr>
          <w:rFonts w:ascii="Monotype Corsiva" w:hAnsi="Monotype Corsiva" w:cs="Times New Roman"/>
          <w:b/>
          <w:color w:val="7030A0"/>
          <w:sz w:val="16"/>
          <w:szCs w:val="16"/>
        </w:rPr>
      </w:pPr>
    </w:p>
    <w:p w:rsidR="00E036D2" w:rsidRPr="007B134D" w:rsidRDefault="002139CF" w:rsidP="00A1315C">
      <w:pPr>
        <w:spacing w:after="0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color w:val="7030A0"/>
          <w:sz w:val="44"/>
          <w:szCs w:val="44"/>
        </w:rPr>
        <w:t>Тематическая г</w:t>
      </w:r>
      <w:r w:rsidR="00A1315C" w:rsidRPr="007B134D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азета для родителей </w:t>
      </w:r>
    </w:p>
    <w:p w:rsidR="00A1315C" w:rsidRPr="007B134D" w:rsidRDefault="00970DF3" w:rsidP="00A1315C">
      <w:pPr>
        <w:spacing w:after="0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color w:val="7030A0"/>
          <w:sz w:val="44"/>
          <w:szCs w:val="44"/>
        </w:rPr>
        <w:t>Январь</w:t>
      </w:r>
      <w:r w:rsidR="00A1315C" w:rsidRPr="007B134D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 202</w:t>
      </w:r>
      <w:r>
        <w:rPr>
          <w:rFonts w:ascii="Monotype Corsiva" w:hAnsi="Monotype Corsiva" w:cs="Times New Roman"/>
          <w:b/>
          <w:color w:val="7030A0"/>
          <w:sz w:val="44"/>
          <w:szCs w:val="44"/>
        </w:rPr>
        <w:t>4</w:t>
      </w:r>
      <w:r w:rsidR="00A1315C" w:rsidRPr="007B134D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 г.                                                    Выпуск №</w:t>
      </w:r>
      <w:r>
        <w:rPr>
          <w:rFonts w:ascii="Monotype Corsiva" w:hAnsi="Monotype Corsiva" w:cs="Times New Roman"/>
          <w:b/>
          <w:color w:val="7030A0"/>
          <w:sz w:val="44"/>
          <w:szCs w:val="44"/>
        </w:rPr>
        <w:t>3</w:t>
      </w:r>
    </w:p>
    <w:p w:rsidR="00A1315C" w:rsidRDefault="00A1315C" w:rsidP="00A1315C">
      <w:pPr>
        <w:spacing w:after="0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FE3B1F">
        <w:rPr>
          <w:rFonts w:ascii="Times New Roman" w:hAnsi="Times New Roman" w:cs="Times New Roman"/>
          <w:b/>
          <w:color w:val="C00000"/>
          <w:sz w:val="44"/>
          <w:szCs w:val="44"/>
        </w:rPr>
        <w:t>«На пути к профессии»</w:t>
      </w:r>
    </w:p>
    <w:p w:rsidR="00970DF3" w:rsidRDefault="00970DF3" w:rsidP="00A13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F" w:rsidRPr="00970DF3" w:rsidRDefault="00970DF3" w:rsidP="00A13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3">
        <w:rPr>
          <w:rFonts w:ascii="Times New Roman" w:hAnsi="Times New Roman" w:cs="Times New Roman"/>
          <w:b/>
          <w:sz w:val="28"/>
          <w:szCs w:val="28"/>
        </w:rPr>
        <w:t>Как выбрать ВУЗ и не пожалеть?</w:t>
      </w:r>
    </w:p>
    <w:p w:rsidR="00FE3B1F" w:rsidRDefault="00E51E84" w:rsidP="00E659F0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4730258</wp:posOffset>
            </wp:positionH>
            <wp:positionV relativeFrom="paragraph">
              <wp:posOffset>114904</wp:posOffset>
            </wp:positionV>
            <wp:extent cx="1828800" cy="1276471"/>
            <wp:effectExtent l="0" t="0" r="0" b="0"/>
            <wp:wrapNone/>
            <wp:docPr id="3" name="Рисунок 3" descr="https://express-externat.spb.ru/images/externat/vybor_v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press-externat.spb.ru/images/externat/vybor_vu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9382"/>
                    <a:stretch/>
                  </pic:blipFill>
                  <pic:spPr bwMode="auto">
                    <a:xfrm>
                      <a:off x="0" y="0"/>
                      <a:ext cx="1832739" cy="12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70DF3" w:rsidRDefault="00E33382" w:rsidP="00E51E84">
      <w:pPr>
        <w:ind w:right="29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70DF3" w:rsidRPr="0097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Выбрать профессию — сложная задача. Предположим, вы с этим уже справились. Что дальше? Необходимо решить, как её получить: пройти курсы, поступить в ВУЗ. Как же правильно выбрать ВУЗ для обучения?</w:t>
      </w:r>
      <w:r w:rsidR="00E51E84" w:rsidRPr="00E51E8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70DF3" w:rsidRPr="00E51E84" w:rsidRDefault="00970DF3" w:rsidP="00970D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1E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Факторы, на которые надо обратить внимание:</w:t>
      </w:r>
    </w:p>
    <w:p w:rsidR="00970DF3" w:rsidRPr="00E51E84" w:rsidRDefault="00970DF3" w:rsidP="00E51E84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DF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нужного направления подготовки.</w:t>
      </w:r>
    </w:p>
    <w:p w:rsidR="00970DF3" w:rsidRPr="00E51E84" w:rsidRDefault="00636B66" w:rsidP="00E51E84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B66">
        <w:rPr>
          <w:rFonts w:ascii="Times New Roman" w:hAnsi="Times New Roman" w:cs="Times New Roman"/>
          <w:sz w:val="24"/>
          <w:szCs w:val="24"/>
        </w:rPr>
        <w:pict>
          <v:shape id="Рисунок 14" o:spid="_x0000_i1025" type="#_x0000_t75" alt="✔" style="width:12.15pt;height:12.15pt;visibility:visible;mso-wrap-style:square">
            <v:imagedata r:id="rId7" o:title="✔"/>
          </v:shape>
        </w:pic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Наличие и количество бюджетных мест или стоимость платного обучения.</w:t>
      </w:r>
    </w:p>
    <w:p w:rsidR="00970DF3" w:rsidRPr="00E51E84" w:rsidRDefault="00636B66" w:rsidP="00E51E84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B66">
        <w:rPr>
          <w:rFonts w:ascii="Times New Roman" w:hAnsi="Times New Roman" w:cs="Times New Roman"/>
          <w:sz w:val="24"/>
          <w:szCs w:val="24"/>
        </w:rPr>
        <w:pict>
          <v:shape id="Рисунок 13" o:spid="_x0000_i1026" type="#_x0000_t75" alt="✔" style="width:12.15pt;height:12.15pt;visibility:visible;mso-wrap-style:square" o:bullet="t">
            <v:imagedata r:id="rId7" o:title="✔"/>
          </v:shape>
        </w:pict>
      </w:r>
      <w:r w:rsid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Город. Если ВУЗ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другом городе, важно продумать все детали, связанные с переездом: предоставляют ли студентам общежитие, каковы там условия, какая сумма будет уходить на проживание и т.д.</w:t>
      </w:r>
    </w:p>
    <w:p w:rsidR="00970DF3" w:rsidRPr="00E51E84" w:rsidRDefault="00970DF3" w:rsidP="00E51E84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E8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Проходные баллы. Конечно, с учётом конкурса вы не сможете заранее точно узнать, хватит ли вам набранных баллов ЕГЭ. Однако</w:t>
      </w:r>
      <w:r w:rsid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полезно иметь ориентир, например, в виде баллов абитуриентов прошлого года.</w:t>
      </w:r>
    </w:p>
    <w:p w:rsidR="00970DF3" w:rsidRPr="00E51E84" w:rsidRDefault="00636B66" w:rsidP="00E51E84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B66">
        <w:rPr>
          <w:rFonts w:ascii="Times New Roman" w:hAnsi="Times New Roman" w:cs="Times New Roman"/>
          <w:sz w:val="24"/>
          <w:szCs w:val="24"/>
        </w:rPr>
        <w:pict>
          <v:shape id="Рисунок 11" o:spid="_x0000_i1027" type="#_x0000_t75" alt="✔" style="width:12.15pt;height:12.15pt;visibility:visible;mso-wrap-style:square" o:bullet="t">
            <v:imagedata r:id="rId7" o:title="✔"/>
          </v:shape>
        </w:pict>
      </w:r>
      <w:r w:rsid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Рейтинг ВУЗа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Важный показатель, говорящий о качестве образования и дальнейшем трудоустройстве студентов. Самый популярный рейтинг — RAEX </w:t>
      </w:r>
      <w:hyperlink r:id="rId8" w:tgtFrame="_blank" w:tooltip="https://raex-rr.com/education/russian_universities/top-100_universities/2023" w:history="1">
        <w:r w:rsidR="00970DF3" w:rsidRPr="00E51E8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https://raex-rr.com/education/russian_universities/to..</w:t>
        </w:r>
      </w:hyperlink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есть и другие: «Интерфакс», Shanghai Ranking, QS и др. Рекомендуем изучить все рейтинги, которые найдёте.</w:t>
      </w:r>
    </w:p>
    <w:p w:rsidR="00970DF3" w:rsidRPr="00E51E84" w:rsidRDefault="00970DF3" w:rsidP="00E51E84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E8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Наличие лиц</w:t>
      </w:r>
      <w:r w:rsid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ензии и аккредитации. Диплом ВУЗ</w:t>
      </w:r>
      <w:r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без лицензии не будет иметь веса при трудоустройстве. Аккредитация важна главным образом студентам, которые планируют получить отсрочку от армии.</w:t>
      </w:r>
    </w:p>
    <w:p w:rsidR="00970DF3" w:rsidRPr="00E51E84" w:rsidRDefault="00970DF3" w:rsidP="00E51E84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E8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Учебный план. У одной и той же уч</w:t>
      </w:r>
      <w:r w:rsid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ебной специальности в разных ВУЗ</w:t>
      </w:r>
      <w:r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 может ощутимо различаться учебный план, то есть изучаемые предметы и количество отведённых на них часов. В одном вузе может быть больше теории, в другом — практики. Подумайте, что важно для вас, прежде че</w:t>
      </w:r>
      <w:r w:rsid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принимать решение о выборе ВУЗ</w:t>
      </w:r>
      <w:r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:rsidR="00E51E84" w:rsidRPr="00E51E84" w:rsidRDefault="00636B66" w:rsidP="00E51E84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B66">
        <w:rPr>
          <w:rFonts w:ascii="Times New Roman" w:hAnsi="Times New Roman" w:cs="Times New Roman"/>
          <w:sz w:val="24"/>
          <w:szCs w:val="24"/>
        </w:rPr>
        <w:pict>
          <v:shape id="Рисунок 8" o:spid="_x0000_i1028" type="#_x0000_t75" alt="✔" style="width:12.15pt;height:12.15pt;visibility:visible;mso-wrap-style:square" o:bullet="t">
            <v:imagedata r:id="rId7" o:title="✔"/>
          </v:shape>
        </w:pic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Преподавательский состав. Это важный показатель, </w:t>
      </w:r>
      <w:r w:rsidR="0077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бывает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трудно найти критерии для его оценки. Многочисленные регалии того или иного преподавателя не всегда говорят о высоком профессионализме. </w:t>
      </w:r>
      <w:r w:rsidR="0077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на профильной кафедре совсем мало представителей с учёными степенями, то это повод задуматься.</w:t>
      </w:r>
    </w:p>
    <w:p w:rsidR="00E51E84" w:rsidRPr="00E51E84" w:rsidRDefault="00770716" w:rsidP="00E51E84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B66">
        <w:rPr>
          <w:rFonts w:ascii="Times New Roman" w:hAnsi="Times New Roman" w:cs="Times New Roman"/>
          <w:sz w:val="24"/>
          <w:szCs w:val="24"/>
        </w:rPr>
        <w:pict>
          <v:shape id="Рисунок 7" o:spid="_x0000_i1029" type="#_x0000_t75" alt="✔" style="width:12.15pt;height:12.15pt;visibility:visible;mso-wrap-style:square">
            <v:imagedata r:id="rId7" o:title="✔"/>
          </v:shape>
        </w:pic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Отзывы студентов и выпускников. Нельзя сказать, что это полностью объективный показатель. Однако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бл</w:t>
      </w:r>
      <w:r w:rsid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изок к этому. Поищите группы ВУЗ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соцсетях, поспрашивайте знакомых. Имейте в виду, что на разных направлениях подготовки и у разных преподавателей отзывы могут кардинально различаться. Ориент</w:t>
      </w:r>
      <w:r w:rsid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ируйтесь не на общие слова о ВУЗ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е, а на отзывы именно о той специальности, которую планируете получать.</w:t>
      </w:r>
    </w:p>
    <w:p w:rsidR="00970DF3" w:rsidRPr="00E51E84" w:rsidRDefault="00E33382" w:rsidP="00E333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часть информац</w:t>
      </w:r>
      <w:r w:rsidR="00E51E84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вы сможете найти на сайте ВУЗ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Но мы рекомендуем не пренебрегать днями открытых дверей. Помимо того</w:t>
      </w:r>
      <w:r w:rsidR="0077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</w:t>
      </w:r>
      <w:r w:rsidR="00E51E84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сможете вживую увидеть сам ВУЗ</w:t>
      </w:r>
      <w:r w:rsidR="00970DF3" w:rsidRPr="00E51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вас будет возможность пообщаться с преподавателями и задать все интересующие вопросы.</w:t>
      </w:r>
    </w:p>
    <w:p w:rsidR="00F85207" w:rsidRPr="00352D96" w:rsidRDefault="00F85207" w:rsidP="00352D9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2D96" w:rsidRDefault="00352D96" w:rsidP="004E16D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2D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ЕГЭ: какие предметы выбрать?</w:t>
      </w:r>
    </w:p>
    <w:p w:rsidR="00352D96" w:rsidRPr="00352D96" w:rsidRDefault="00352D96" w:rsidP="00352D96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52D96" w:rsidRDefault="00E33382" w:rsidP="00E333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52D96" w:rsidRP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Выбор профессии тесно связан с учёбой в школе. Цепочка простая: изучение предметов — сдача экзаменов — поступление — получение специальности. </w:t>
      </w:r>
      <w:r w:rsid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</w:t>
      </w:r>
      <w:r w:rsidR="00352D96" w:rsidRP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обсудим, как подростку выбрать предметы для сдачи ЕГЭ.</w:t>
      </w:r>
    </w:p>
    <w:p w:rsidR="00352D96" w:rsidRDefault="00E33382" w:rsidP="00E33382">
      <w:pPr>
        <w:spacing w:after="0" w:line="240" w:lineRule="auto"/>
        <w:ind w:right="21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5299995</wp:posOffset>
            </wp:positionH>
            <wp:positionV relativeFrom="paragraph">
              <wp:posOffset>121264</wp:posOffset>
            </wp:positionV>
            <wp:extent cx="1104277" cy="1544356"/>
            <wp:effectExtent l="0" t="0" r="635" b="0"/>
            <wp:wrapNone/>
            <wp:docPr id="4" name="Рисунок 4" descr="https://sh-verxne-taleckaya-talcy-r81.gosweb.gosuslugi.ru/netcat_files/167/28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verxne-taleckaya-talcy-r81.gosweb.gosuslugi.ru/netcat_files/167/2808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9495"/>
                    <a:stretch/>
                  </pic:blipFill>
                  <pic:spPr bwMode="auto">
                    <a:xfrm>
                      <a:off x="0" y="0"/>
                      <a:ext cx="1104277" cy="154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52D96" w:rsidRP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аттестата все школьники сдают два экзамена: русский язык и математику. Результаты ЕГЭ по русскому требуются для поступления на любую специальность.</w:t>
      </w:r>
    </w:p>
    <w:p w:rsidR="00352D96" w:rsidRDefault="00E33382" w:rsidP="00E33382">
      <w:pPr>
        <w:spacing w:after="0" w:line="240" w:lineRule="auto"/>
        <w:ind w:right="21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52D96" w:rsidRP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Математику можно сдать на базовом уровне, чтобы получить аттестат. Это вариант для тех, чья дальнейшая специальность не связана с точными науками.</w:t>
      </w:r>
    </w:p>
    <w:p w:rsidR="00352D96" w:rsidRDefault="00E33382" w:rsidP="00E33382">
      <w:pPr>
        <w:spacing w:after="0" w:line="240" w:lineRule="auto"/>
        <w:ind w:right="21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52D96" w:rsidRP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Математику на профильном уровне сдать сложнее, но она требуется для поступления на ряд специальностей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352D96" w:rsidRP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оэтому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52D96" w:rsidRP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</w:t>
      </w:r>
      <w:r w:rsidR="00352D96" w:rsidRP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2D96" w:rsidRPr="00352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ЕГЭ по математике.</w:t>
      </w:r>
    </w:p>
    <w:p w:rsidR="00E33382" w:rsidRPr="00E33382" w:rsidRDefault="00352D96" w:rsidP="00E659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3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Дальше нужно определиться с остальными дисциплинами для сдачи ЕГЭ:</w:t>
      </w:r>
    </w:p>
    <w:p w:rsidR="00E33382" w:rsidRPr="00E659F0" w:rsidRDefault="00352D96" w:rsidP="00E659F0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Выясните, какие предметы требуются на предполагаемую специальность. Эту информацию несложно </w:t>
      </w:r>
      <w:r w:rsid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найти на сайте интересующего ВУЗ</w:t>
      </w: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:rsidR="00E33382" w:rsidRPr="00E659F0" w:rsidRDefault="00352D96" w:rsidP="00E659F0">
      <w:pPr>
        <w:pStyle w:val="a5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Разработайте план «Б». Что, если поступить туда, куда больше всего хотелось, не получится? На какие другие специальности принимают с таким же набором экзаменов?</w:t>
      </w:r>
    </w:p>
    <w:p w:rsidR="00E33382" w:rsidRPr="00E659F0" w:rsidRDefault="00352D96" w:rsidP="00E659F0">
      <w:pPr>
        <w:pStyle w:val="a5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Подумайте о количестве экзаменов. С каждым дополнительным ЕГЭ по выбору увеличиваются возможности для поступления. Неплохая стратегия — выбрать на один предмет больше, чем необходимо. В такой ситуации неожиданно низкий балл по одному из предметов не станет фатальным.</w:t>
      </w:r>
    </w:p>
    <w:p w:rsidR="00E33382" w:rsidRPr="00E659F0" w:rsidRDefault="00352D96" w:rsidP="00E659F0">
      <w:pPr>
        <w:pStyle w:val="a5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 на вариативность. Раньше на все направления требовалось сдавать жёсткий набор предметов. Сейчас на некоторых специальностях есть возможность выбора. Например, сдать или обществознание, или иностранный язык. В такой ситуации подумайте, какой вариант окажется предпочтительнее.</w:t>
      </w:r>
    </w:p>
    <w:p w:rsidR="00E33382" w:rsidRPr="00E659F0" w:rsidRDefault="00352D96" w:rsidP="00E659F0">
      <w:pPr>
        <w:pStyle w:val="a5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о</w:t>
      </w:r>
      <w:r w:rsid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тметкам</w:t>
      </w: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всегда можно доверять. Выбирая предметы для сдачи ЕГЭ, многие ребята ориентируются на свои о</w:t>
      </w:r>
      <w:r w:rsid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тметк</w:t>
      </w: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Это логично, но не совсем правильно. Чтобы определить свой настоящий уровень готовности, попробуйте решить демоверсию заданий.</w:t>
      </w:r>
    </w:p>
    <w:p w:rsidR="00E33382" w:rsidRPr="00E659F0" w:rsidRDefault="00352D96" w:rsidP="00E659F0">
      <w:pPr>
        <w:pStyle w:val="a5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Следите за изменениями. Выбирать ЕГЭ лучше не за один, а за два года до поступления. А в идеале — ещё раньше, чтобы сначала сдать ОГЭ по тому же предмету и попробовать свои силы. Однако важно помнить, что за несколько лет правила поступления могут измениться. К этому надо быть готовым.</w:t>
      </w:r>
    </w:p>
    <w:p w:rsidR="00E33382" w:rsidRPr="00E659F0" w:rsidRDefault="004E16DA" w:rsidP="00E659F0">
      <w:pPr>
        <w:pStyle w:val="a5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5141223</wp:posOffset>
            </wp:positionH>
            <wp:positionV relativeFrom="paragraph">
              <wp:posOffset>503340</wp:posOffset>
            </wp:positionV>
            <wp:extent cx="1438763" cy="585627"/>
            <wp:effectExtent l="0" t="0" r="9525" b="5080"/>
            <wp:wrapNone/>
            <wp:docPr id="5" name="Рисунок 5" descr="https://kakigdeuchitsya.ru/wp-content/uploads/2022/06/dopolnitelnye-bally-k-egj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kigdeuchitsya.ru/wp-content/uploads/2022/06/dopolnitelnye-bally-k-egje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74" cy="58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D96"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 на требования к медалистам. Плохие результаты ЕГЭ могут лишить школьника медали, поэтому к выбору предметов в этом случае стоит подойти особенно тщательно.</w:t>
      </w:r>
    </w:p>
    <w:p w:rsidR="00352D96" w:rsidRDefault="00352D96" w:rsidP="004E16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E16DA">
        <w:rPr>
          <w:rFonts w:ascii="Times New Roman" w:hAnsi="Times New Roman" w:cs="Times New Roman"/>
          <w:b/>
          <w:sz w:val="28"/>
          <w:szCs w:val="28"/>
        </w:rPr>
        <w:t xml:space="preserve">Дополнительные баллы </w:t>
      </w:r>
      <w:bookmarkStart w:id="0" w:name="_GoBack"/>
      <w:bookmarkEnd w:id="0"/>
      <w:r w:rsidR="004E16DA" w:rsidRPr="004E16DA">
        <w:rPr>
          <w:rFonts w:ascii="Times New Roman" w:hAnsi="Times New Roman" w:cs="Times New Roman"/>
          <w:b/>
          <w:sz w:val="28"/>
          <w:szCs w:val="28"/>
        </w:rPr>
        <w:t>ЕГЭ</w:t>
      </w:r>
      <w:r w:rsidR="004E16DA" w:rsidRPr="004E16DA">
        <w:rPr>
          <w:noProof/>
          <w:lang w:eastAsia="ru-RU"/>
        </w:rPr>
        <w:t xml:space="preserve"> </w:t>
      </w:r>
    </w:p>
    <w:p w:rsidR="004E16DA" w:rsidRPr="004E16DA" w:rsidRDefault="004E16DA" w:rsidP="004E16DA">
      <w:pPr>
        <w:pStyle w:val="a5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DA" w:rsidRDefault="004E16DA" w:rsidP="004E1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поступить в ВУЗ своей мечты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Сдать ЕГЭ на высокий балл. Но не только. При поступлении абитуриенты могут получить до десяти баллов плюсом к результату своего экзамена.</w:t>
      </w:r>
    </w:p>
    <w:p w:rsidR="004E16DA" w:rsidRDefault="004E16DA" w:rsidP="004E1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ВУЗ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сами определяют, какие достижения учитывать и сколько баллов за них начислять. Эту информацию вы можете найти на сайте выбранного университета.</w:t>
      </w:r>
    </w:p>
    <w:p w:rsidR="004E16DA" w:rsidRDefault="004E16DA" w:rsidP="004E1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мы коротко расскажем обо всех способах, которые могут помочь выпускнику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оступить в </w:t>
      </w:r>
      <w:r w:rsidR="0077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ВУЗ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мечты:</w:t>
      </w:r>
    </w:p>
    <w:p w:rsidR="004E16DA" w:rsidRDefault="004E16DA" w:rsidP="004E1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E16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Итоговое сочинение.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даже ничего специально делать не надо: при подаче документов на поступление сочинение передадут в ВУЗ автоматически. Поэтому</w:t>
      </w:r>
      <w:r w:rsidR="00770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написании этой работы стоит держать в голове, что она может повлиять на ваше поступление.</w:t>
      </w:r>
    </w:p>
    <w:p w:rsidR="004E16DA" w:rsidRDefault="004E16DA" w:rsidP="004E1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4E16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Знаки ГТО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Этот пункт доступен для большинства школьников. Поэтому, если у ребёнка всё в порядке со спортом, имеет смысл сдать нормы и получить свои законные дополнительные баллы.</w:t>
      </w:r>
    </w:p>
    <w:p w:rsidR="004E16DA" w:rsidRDefault="004E16DA" w:rsidP="004E1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E16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Аттестат с отличием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его получения необходимо не только иметь отличные годовые и полугодовые отметки, но и сдать ЕГЭ по всем предметам на высокие баллы.</w:t>
      </w:r>
    </w:p>
    <w:p w:rsidR="004E16DA" w:rsidRDefault="004E16DA" w:rsidP="004E1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4E16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Волонтёрство.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Отличный вариант для ребят с активной жизненной позицией. </w:t>
      </w:r>
    </w:p>
    <w:p w:rsidR="004E16DA" w:rsidRDefault="004E16DA" w:rsidP="004E1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4E16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Участие в олимпиадах школьников и других интеллектуальных и творческих конкурсах.</w:t>
      </w:r>
      <w:r w:rsidRPr="002E0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Победители таких олимпиад могут поступить вообще без экзаменов или на особых условиях. Но даже простое участие без высоких результатов может добавить школьнику баллы при поступлении.</w:t>
      </w:r>
    </w:p>
    <w:p w:rsidR="004E16DA" w:rsidRPr="002E04ED" w:rsidRDefault="004E16DA" w:rsidP="004E1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207" w:rsidRPr="00F85207" w:rsidRDefault="00F85207" w:rsidP="00E51E8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5207" w:rsidRPr="00F85207" w:rsidSect="002139CF">
      <w:pgSz w:w="11906" w:h="16838"/>
      <w:pgMar w:top="568" w:right="850" w:bottom="426" w:left="85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🔹" style="width:12.15pt;height:12.15pt;visibility:visible;mso-wrap-style:square" o:bullet="t">
        <v:imagedata r:id="rId1" o:title="🔹"/>
      </v:shape>
    </w:pict>
  </w:numPicBullet>
  <w:numPicBullet w:numPicBulletId="1">
    <w:pict>
      <v:shape id="_x0000_i1029" type="#_x0000_t75" alt="✔" style="width:12.15pt;height:12.15pt;visibility:visible;mso-wrap-style:square" o:bullet="t">
        <v:imagedata r:id="rId2" o:title="✔"/>
      </v:shape>
    </w:pict>
  </w:numPicBullet>
  <w:abstractNum w:abstractNumId="0">
    <w:nsid w:val="06830C74"/>
    <w:multiLevelType w:val="hybridMultilevel"/>
    <w:tmpl w:val="FEC68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E45E15"/>
    <w:multiLevelType w:val="hybridMultilevel"/>
    <w:tmpl w:val="0EBE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22E0C"/>
    <w:multiLevelType w:val="hybridMultilevel"/>
    <w:tmpl w:val="FA6EF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200D65"/>
    <w:multiLevelType w:val="hybridMultilevel"/>
    <w:tmpl w:val="85DE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4798F"/>
    <w:multiLevelType w:val="hybridMultilevel"/>
    <w:tmpl w:val="6442AB2C"/>
    <w:lvl w:ilvl="0" w:tplc="66648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A5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E9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DE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63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05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8C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0F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704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C787412"/>
    <w:multiLevelType w:val="hybridMultilevel"/>
    <w:tmpl w:val="6E148354"/>
    <w:lvl w:ilvl="0" w:tplc="96863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A3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A0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14E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22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67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45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81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AD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A1315C"/>
    <w:rsid w:val="002139CF"/>
    <w:rsid w:val="00343B45"/>
    <w:rsid w:val="00352D96"/>
    <w:rsid w:val="004044D8"/>
    <w:rsid w:val="004E16DA"/>
    <w:rsid w:val="00636B66"/>
    <w:rsid w:val="00770716"/>
    <w:rsid w:val="007B134D"/>
    <w:rsid w:val="00970DF3"/>
    <w:rsid w:val="00A1315C"/>
    <w:rsid w:val="00C82B16"/>
    <w:rsid w:val="00DB6448"/>
    <w:rsid w:val="00E036D2"/>
    <w:rsid w:val="00E33382"/>
    <w:rsid w:val="00E51E84"/>
    <w:rsid w:val="00E659F0"/>
    <w:rsid w:val="00F85207"/>
    <w:rsid w:val="00FE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315C"/>
  </w:style>
  <w:style w:type="character" w:customStyle="1" w:styleId="c5">
    <w:name w:val="c5"/>
    <w:basedOn w:val="a0"/>
    <w:rsid w:val="00A1315C"/>
  </w:style>
  <w:style w:type="character" w:customStyle="1" w:styleId="c6">
    <w:name w:val="c6"/>
    <w:basedOn w:val="a0"/>
    <w:rsid w:val="00A1315C"/>
  </w:style>
  <w:style w:type="character" w:customStyle="1" w:styleId="c0">
    <w:name w:val="c0"/>
    <w:basedOn w:val="a0"/>
    <w:rsid w:val="00A1315C"/>
  </w:style>
  <w:style w:type="paragraph" w:styleId="a3">
    <w:name w:val="Balloon Text"/>
    <w:basedOn w:val="a"/>
    <w:link w:val="a4"/>
    <w:uiPriority w:val="99"/>
    <w:semiHidden/>
    <w:unhideWhenUsed/>
    <w:rsid w:val="007B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34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0DF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1E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aex-rr.com%2Feducation%2Frussian_universities%2Ftop-100_universities%2F2023&amp;post=-39656869_78020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Махорская И С</cp:lastModifiedBy>
  <cp:revision>4</cp:revision>
  <cp:lastPrinted>2024-01-17T04:36:00Z</cp:lastPrinted>
  <dcterms:created xsi:type="dcterms:W3CDTF">2024-01-17T07:15:00Z</dcterms:created>
  <dcterms:modified xsi:type="dcterms:W3CDTF">2024-01-17T13:43:00Z</dcterms:modified>
</cp:coreProperties>
</file>